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DD406" w14:textId="453832F9" w:rsidR="0013709F" w:rsidRPr="00FC3D0A" w:rsidRDefault="00FC3D0A" w:rsidP="00FC3D0A">
      <w:pPr>
        <w:spacing w:line="360" w:lineRule="auto"/>
        <w:jc w:val="both"/>
        <w:rPr>
          <w:rFonts w:ascii="Arial" w:hAnsi="Arial" w:cs="Arial"/>
        </w:rPr>
      </w:pPr>
      <w:r w:rsidRPr="00FC3D0A">
        <w:rPr>
          <w:rFonts w:ascii="Arial" w:hAnsi="Arial" w:cs="Arial"/>
        </w:rPr>
        <w:t xml:space="preserve">Lee EKC, Loo SW, Juneja A. Complete remission of metastatic mismatch repair-deficient/microsatellite instability-high </w:t>
      </w:r>
      <w:proofErr w:type="spellStart"/>
      <w:r w:rsidRPr="00FC3D0A">
        <w:rPr>
          <w:rFonts w:ascii="Arial" w:hAnsi="Arial" w:cs="Arial"/>
        </w:rPr>
        <w:t>esophageal</w:t>
      </w:r>
      <w:proofErr w:type="spellEnd"/>
      <w:r w:rsidRPr="00FC3D0A">
        <w:rPr>
          <w:rFonts w:ascii="Arial" w:hAnsi="Arial" w:cs="Arial"/>
        </w:rPr>
        <w:t xml:space="preserve"> adenocarcinoma following immunotherapy: A case report. J Case Rep Images Oncology 2026;12(2):4–7.</w:t>
      </w:r>
    </w:p>
    <w:sectPr w:rsidR="0013709F" w:rsidRPr="00FC3D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D0A"/>
    <w:rsid w:val="0013709F"/>
    <w:rsid w:val="0015459F"/>
    <w:rsid w:val="001B6D82"/>
    <w:rsid w:val="001E419D"/>
    <w:rsid w:val="004F6E26"/>
    <w:rsid w:val="00603117"/>
    <w:rsid w:val="00A154B0"/>
    <w:rsid w:val="00D80848"/>
    <w:rsid w:val="00DC0000"/>
    <w:rsid w:val="00FC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4D798"/>
  <w15:chartTrackingRefBased/>
  <w15:docId w15:val="{71E51DFA-34DA-489B-BE0D-F27524E5A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D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D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D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D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D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D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D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D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D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D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D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D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D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D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D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D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Sharma</dc:creator>
  <cp:keywords/>
  <dc:description/>
  <cp:lastModifiedBy>Chanchal Sharma</cp:lastModifiedBy>
  <cp:revision>1</cp:revision>
  <dcterms:created xsi:type="dcterms:W3CDTF">2026-07-29T05:12:00Z</dcterms:created>
  <dcterms:modified xsi:type="dcterms:W3CDTF">2026-07-29T05:12:00Z</dcterms:modified>
</cp:coreProperties>
</file>