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22F0" w14:textId="24FC1BAE" w:rsidR="00DB1A8E" w:rsidRDefault="00DB1A8E" w:rsidP="00DB1A8E">
      <w:r w:rsidRPr="00DB1A8E">
        <w:t>Sehdev R, Rana P, Shaikh T. Concomitant anal and rectal squamous cell carcinoma: A case report. J Case Rep Images Oncology 2026;12(1):9–13.</w:t>
      </w:r>
    </w:p>
    <w:sectPr w:rsidR="00DB1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8E"/>
    <w:rsid w:val="0013709F"/>
    <w:rsid w:val="0015459F"/>
    <w:rsid w:val="001B6D82"/>
    <w:rsid w:val="001E419D"/>
    <w:rsid w:val="004F6E26"/>
    <w:rsid w:val="00603117"/>
    <w:rsid w:val="008368DF"/>
    <w:rsid w:val="00D80848"/>
    <w:rsid w:val="00DB1A8E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E652"/>
  <w15:chartTrackingRefBased/>
  <w15:docId w15:val="{74F2EF01-B43D-4067-8F3B-12200047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A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A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A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A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2026-04-23T07:35:00Z</dcterms:created>
  <dcterms:modified xsi:type="dcterms:W3CDTF">2026-04-23T07:36:00Z</dcterms:modified>
</cp:coreProperties>
</file>