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1F4E" w14:textId="75332F69" w:rsidR="000C700B" w:rsidRDefault="000C700B" w:rsidP="000C700B">
      <w:pPr>
        <w:spacing w:line="360" w:lineRule="auto"/>
        <w:jc w:val="both"/>
      </w:pPr>
      <w:r w:rsidRPr="000C700B">
        <w:t>Breland A, Cooper T. Apocrine adenocarcinoma in a patient with a partner and localizer of BRCA2 (PALB2) genetic mutation: A case report. J Case Rep Images Oncology 2025;11(2):11–15.</w:t>
      </w:r>
    </w:p>
    <w:sectPr w:rsidR="000C7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0B"/>
    <w:rsid w:val="0006374C"/>
    <w:rsid w:val="000C700B"/>
    <w:rsid w:val="0013709F"/>
    <w:rsid w:val="001E419D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0C16"/>
  <w15:chartTrackingRefBased/>
  <w15:docId w15:val="{6CF27ACD-1743-493F-85D0-BFF76668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2025-09-09T06:26:00Z</dcterms:created>
  <dcterms:modified xsi:type="dcterms:W3CDTF">2025-09-09T06:27:00Z</dcterms:modified>
</cp:coreProperties>
</file>