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82F4" w14:textId="695DDAD1" w:rsidR="0013709F" w:rsidRPr="00D2577E" w:rsidRDefault="00D2577E" w:rsidP="00D2577E">
      <w:pPr>
        <w:spacing w:line="360" w:lineRule="auto"/>
        <w:jc w:val="both"/>
        <w:rPr>
          <w:rFonts w:ascii="Arial" w:hAnsi="Arial" w:cs="Arial"/>
        </w:rPr>
      </w:pPr>
      <w:r w:rsidRPr="00D2577E">
        <w:rPr>
          <w:rFonts w:ascii="Arial" w:hAnsi="Arial" w:cs="Arial"/>
        </w:rPr>
        <w:t>Awad AR, Pearson EJ, Moldovan CA, Nott LM, Mills JK, Mackie GC. Incidental hip lesions on fluorodeoxyglucose-positron emission tomography during breast cancer staging: Addressing false positives in clinical practice. J Case Rep Images Oncology 2025;11(1):14–19.</w:t>
      </w:r>
    </w:p>
    <w:sectPr w:rsidR="0013709F" w:rsidRPr="00D25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7E"/>
    <w:rsid w:val="0013709F"/>
    <w:rsid w:val="00281330"/>
    <w:rsid w:val="00603117"/>
    <w:rsid w:val="00D2577E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7E29"/>
  <w15:chartTrackingRefBased/>
  <w15:docId w15:val="{6EE11E83-0FEE-4625-99B3-96F3564E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2025-05-07T07:10:00Z</dcterms:created>
  <dcterms:modified xsi:type="dcterms:W3CDTF">2025-05-07T07:11:00Z</dcterms:modified>
</cp:coreProperties>
</file>